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B2" w:rsidRPr="00C02CEB" w:rsidRDefault="006F0EB2" w:rsidP="00C02CEB">
      <w:pPr>
        <w:jc w:val="both"/>
        <w:rPr>
          <w:rFonts w:ascii="Arial" w:hAnsi="Arial" w:cs="Arial"/>
          <w:b/>
          <w:sz w:val="32"/>
          <w:szCs w:val="32"/>
          <w:u w:val="single"/>
        </w:rPr>
      </w:pPr>
      <w:r w:rsidRPr="00C02CEB">
        <w:rPr>
          <w:rFonts w:ascii="Arial" w:hAnsi="Arial" w:cs="Arial"/>
          <w:b/>
          <w:sz w:val="32"/>
          <w:szCs w:val="32"/>
          <w:u w:val="single"/>
        </w:rPr>
        <w:t>ANTWOORD</w:t>
      </w:r>
      <w:r w:rsidR="009908A0" w:rsidRPr="00C02CEB">
        <w:rPr>
          <w:rFonts w:ascii="Arial" w:hAnsi="Arial" w:cs="Arial"/>
          <w:b/>
          <w:sz w:val="32"/>
          <w:szCs w:val="32"/>
          <w:u w:val="single"/>
        </w:rPr>
        <w:t xml:space="preserve"> Risk Management Group</w:t>
      </w:r>
      <w:r w:rsidR="00B7235E" w:rsidRPr="00C02CEB">
        <w:rPr>
          <w:rFonts w:ascii="Arial" w:hAnsi="Arial" w:cs="Arial"/>
          <w:b/>
          <w:sz w:val="32"/>
          <w:szCs w:val="32"/>
          <w:u w:val="single"/>
        </w:rPr>
        <w:t xml:space="preserve">  20.11.2019</w:t>
      </w:r>
      <w:r w:rsidR="009908A0" w:rsidRPr="00C02CEB">
        <w:rPr>
          <w:rFonts w:ascii="Arial" w:hAnsi="Arial" w:cs="Arial"/>
          <w:b/>
          <w:sz w:val="32"/>
          <w:szCs w:val="32"/>
          <w:u w:val="single"/>
        </w:rPr>
        <w:t>:</w:t>
      </w:r>
    </w:p>
    <w:p w:rsidR="00B92484" w:rsidRPr="00C02CEB" w:rsidRDefault="00B92484" w:rsidP="00C02CEB">
      <w:pPr>
        <w:jc w:val="both"/>
        <w:rPr>
          <w:rFonts w:ascii="Arial" w:hAnsi="Arial" w:cs="Arial"/>
        </w:rPr>
      </w:pPr>
    </w:p>
    <w:p w:rsidR="00B92484" w:rsidRPr="00C02CEB" w:rsidRDefault="00B7235E" w:rsidP="00C02CEB">
      <w:pPr>
        <w:jc w:val="both"/>
        <w:rPr>
          <w:rFonts w:ascii="Arial" w:hAnsi="Arial" w:cs="Arial"/>
        </w:rPr>
      </w:pPr>
      <w:r w:rsidRPr="00C02CEB">
        <w:rPr>
          <w:rFonts w:ascii="Arial" w:hAnsi="Arial" w:cs="Arial"/>
        </w:rPr>
        <w:t xml:space="preserve">Naar aanleiding van de vraag op welke wijze aanhouding zou zijn geregeld in de Decreten van de Deelstaten, vindt u hieronder </w:t>
      </w:r>
      <w:r w:rsidR="00B92484" w:rsidRPr="00C02CEB">
        <w:rPr>
          <w:rFonts w:ascii="Arial" w:hAnsi="Arial" w:cs="Arial"/>
        </w:rPr>
        <w:t>de toepasselijke wetgevingen op het gebied Volksgezondheid in de verschillende Gemeenschappen:</w:t>
      </w:r>
    </w:p>
    <w:p w:rsidR="00B92484" w:rsidRPr="00C02CEB" w:rsidRDefault="00B92484" w:rsidP="00C02CEB">
      <w:pPr>
        <w:jc w:val="both"/>
        <w:rPr>
          <w:rFonts w:ascii="Arial" w:hAnsi="Arial" w:cs="Arial"/>
        </w:rPr>
      </w:pPr>
    </w:p>
    <w:p w:rsidR="00B7235E" w:rsidRPr="00C02CEB" w:rsidRDefault="00B7235E" w:rsidP="00C02CEB">
      <w:pPr>
        <w:jc w:val="both"/>
        <w:rPr>
          <w:rFonts w:ascii="Arial" w:hAnsi="Arial" w:cs="Arial"/>
        </w:rPr>
      </w:pPr>
    </w:p>
    <w:p w:rsidR="00B92484" w:rsidRPr="00C02CEB" w:rsidRDefault="00B33991" w:rsidP="00C02CEB">
      <w:pPr>
        <w:jc w:val="both"/>
        <w:rPr>
          <w:rFonts w:ascii="Arial" w:hAnsi="Arial" w:cs="Arial"/>
          <w:sz w:val="28"/>
          <w:szCs w:val="28"/>
        </w:rPr>
      </w:pPr>
      <w:r w:rsidRPr="00C02CEB">
        <w:rPr>
          <w:rFonts w:ascii="Arial" w:hAnsi="Arial" w:cs="Arial"/>
          <w:b/>
          <w:sz w:val="28"/>
          <w:szCs w:val="28"/>
          <w:u w:val="single"/>
        </w:rPr>
        <w:t>Brussel Hoofdsted</w:t>
      </w:r>
      <w:r w:rsidR="00B92484" w:rsidRPr="00C02CEB">
        <w:rPr>
          <w:rFonts w:ascii="Arial" w:hAnsi="Arial" w:cs="Arial"/>
          <w:b/>
          <w:sz w:val="28"/>
          <w:szCs w:val="28"/>
          <w:u w:val="single"/>
        </w:rPr>
        <w:t>elijk Gewest</w:t>
      </w:r>
    </w:p>
    <w:p w:rsidR="00B92484" w:rsidRPr="00C02CEB" w:rsidRDefault="00B92484" w:rsidP="00C02CEB">
      <w:pPr>
        <w:jc w:val="both"/>
        <w:rPr>
          <w:rFonts w:ascii="Arial" w:hAnsi="Arial" w:cs="Arial"/>
        </w:rPr>
      </w:pPr>
      <w:r w:rsidRPr="00C02CEB">
        <w:rPr>
          <w:rFonts w:ascii="Arial" w:hAnsi="Arial" w:cs="Arial"/>
        </w:rPr>
        <w:t xml:space="preserve">Het enige middel om iemand te ‘verplichten’ </w:t>
      </w:r>
      <w:r w:rsidR="00702103" w:rsidRPr="00C02CEB">
        <w:rPr>
          <w:rFonts w:ascii="Arial" w:hAnsi="Arial" w:cs="Arial"/>
        </w:rPr>
        <w:t xml:space="preserve">zich te laten opnemen </w:t>
      </w:r>
      <w:r w:rsidRPr="00C02CEB">
        <w:rPr>
          <w:rFonts w:ascii="Arial" w:hAnsi="Arial" w:cs="Arial"/>
        </w:rPr>
        <w:t xml:space="preserve">in een ziekenhuis is Art.13 van </w:t>
      </w:r>
      <w:r w:rsidR="00B33991" w:rsidRPr="00C02CEB">
        <w:rPr>
          <w:rFonts w:ascii="Arial" w:hAnsi="Arial" w:cs="Arial"/>
        </w:rPr>
        <w:t>“Ordonnantie betreffende het preventieve gezondheidsbeleid”</w:t>
      </w:r>
      <w:r w:rsidRPr="00C02CEB">
        <w:rPr>
          <w:rStyle w:val="Appelnotedebasdep"/>
          <w:rFonts w:ascii="Arial" w:hAnsi="Arial" w:cs="Arial"/>
        </w:rPr>
        <w:footnoteReference w:id="1"/>
      </w:r>
      <w:r w:rsidR="00B33991" w:rsidRPr="00C02CEB">
        <w:rPr>
          <w:rFonts w:ascii="Arial" w:hAnsi="Arial" w:cs="Arial"/>
        </w:rPr>
        <w:t xml:space="preserve"> </w:t>
      </w:r>
      <w:r w:rsidRPr="00C02CEB">
        <w:rPr>
          <w:rFonts w:ascii="Arial" w:hAnsi="Arial" w:cs="Arial"/>
        </w:rPr>
        <w:t>van 19 Juli 2007</w:t>
      </w:r>
      <w:r w:rsidR="00B33991" w:rsidRPr="00C02CEB">
        <w:rPr>
          <w:rFonts w:ascii="Arial" w:hAnsi="Arial" w:cs="Arial"/>
        </w:rPr>
        <w:t>.</w:t>
      </w:r>
      <w:r w:rsidRPr="00C02CEB">
        <w:rPr>
          <w:rFonts w:ascii="Arial" w:hAnsi="Arial" w:cs="Arial"/>
        </w:rPr>
        <w:t xml:space="preserve"> </w:t>
      </w:r>
    </w:p>
    <w:p w:rsidR="00B33991" w:rsidRPr="00C02CEB" w:rsidRDefault="00B33991" w:rsidP="00C02CEB">
      <w:pPr>
        <w:jc w:val="both"/>
        <w:rPr>
          <w:rFonts w:ascii="Arial" w:hAnsi="Arial" w:cs="Arial"/>
          <w:i/>
        </w:rPr>
      </w:pPr>
      <w:r w:rsidRPr="00C02CEB">
        <w:rPr>
          <w:rFonts w:ascii="Arial" w:hAnsi="Arial" w:cs="Arial"/>
          <w:i/>
        </w:rPr>
        <w:t xml:space="preserve">  </w:t>
      </w:r>
      <w:r w:rsidRPr="00C02CEB">
        <w:rPr>
          <w:rFonts w:ascii="Arial" w:hAnsi="Arial" w:cs="Arial"/>
          <w:b/>
          <w:i/>
        </w:rPr>
        <w:t>Art. 13.</w:t>
      </w:r>
      <w:r w:rsidRPr="00C02CEB">
        <w:rPr>
          <w:rFonts w:ascii="Arial" w:hAnsi="Arial" w:cs="Arial"/>
          <w:i/>
        </w:rPr>
        <w:t xml:space="preserve"> De geneesheer-gezondheidsinspecteur kan, indien mogelijk na de burgemeester van de gemeente waar de maatregel moet worden uitgevoerd hierbij te hebben betrokken of zijn medewerking te hebben gevraagd, en, voor zover mogelijk, na overleg met de behandelende artsen, profylactische maatregelen nemen of door de burgemeester doen nemen, zoals :</w:t>
      </w:r>
    </w:p>
    <w:p w:rsidR="00B33991" w:rsidRPr="00C02CEB" w:rsidRDefault="00B33991" w:rsidP="00C02CEB">
      <w:pPr>
        <w:jc w:val="both"/>
        <w:rPr>
          <w:rFonts w:ascii="Arial" w:hAnsi="Arial" w:cs="Arial"/>
          <w:i/>
        </w:rPr>
      </w:pPr>
      <w:r w:rsidRPr="00C02CEB">
        <w:rPr>
          <w:rFonts w:ascii="Arial" w:hAnsi="Arial" w:cs="Arial"/>
          <w:i/>
        </w:rPr>
        <w:t xml:space="preserve">  1° personen die besmet blijken en die infectie kunnen overdragen fysieke contacten met anderen verbieden zolang zij hierdoor een bijzonder gevaar betekenen voor de volksgezondheid;</w:t>
      </w:r>
    </w:p>
    <w:p w:rsidR="00B33991" w:rsidRPr="00C02CEB" w:rsidRDefault="00B33991" w:rsidP="00C02CEB">
      <w:pPr>
        <w:jc w:val="both"/>
        <w:rPr>
          <w:rFonts w:ascii="Arial" w:hAnsi="Arial" w:cs="Arial"/>
          <w:i/>
        </w:rPr>
      </w:pPr>
      <w:r w:rsidRPr="00C02CEB">
        <w:rPr>
          <w:rFonts w:ascii="Arial" w:hAnsi="Arial" w:cs="Arial"/>
          <w:i/>
        </w:rPr>
        <w:t xml:space="preserve">  2° personen, die, na contact met een geïnfecteerde persoon of na contact met een andere besmettingsbron mogelijk besmet zijn en die, door contacten met anderen, deze infectie kunnen overdragen, onderwerpen aan een medisch onderzoek;</w:t>
      </w:r>
    </w:p>
    <w:p w:rsidR="00B33991" w:rsidRPr="00C02CEB" w:rsidRDefault="00B33991" w:rsidP="00C02CEB">
      <w:pPr>
        <w:jc w:val="both"/>
        <w:rPr>
          <w:rFonts w:ascii="Arial" w:hAnsi="Arial" w:cs="Arial"/>
          <w:i/>
        </w:rPr>
      </w:pPr>
      <w:r w:rsidRPr="00C02CEB">
        <w:rPr>
          <w:rFonts w:ascii="Arial" w:hAnsi="Arial" w:cs="Arial"/>
          <w:i/>
        </w:rPr>
        <w:t xml:space="preserve">  3° personen die besmet blijken en die infectie kunnen overdragen, verplichten een aangepaste medische behandeling te volgen met het oog op het bestrijden van deze besmettelijkheid;</w:t>
      </w:r>
    </w:p>
    <w:p w:rsidR="00B33991" w:rsidRPr="00C02CEB" w:rsidRDefault="00B33991" w:rsidP="00C02CEB">
      <w:pPr>
        <w:jc w:val="both"/>
        <w:rPr>
          <w:rFonts w:ascii="Arial" w:hAnsi="Arial" w:cs="Arial"/>
          <w:i/>
        </w:rPr>
      </w:pPr>
      <w:r w:rsidRPr="00C02CEB">
        <w:rPr>
          <w:rFonts w:ascii="Arial" w:hAnsi="Arial" w:cs="Arial"/>
          <w:i/>
        </w:rPr>
        <w:t xml:space="preserve">  4° personen die, in het kader van de uitoefening van hun beroepsactiviteiten, een infectie kunnen overdragen verbieden deze activiteit uit te oefenen of verplicht onderwerpen aan een medisch onderzoek, zolang zij een bijzonder gevaar betekenen voor de volksgezondheid;</w:t>
      </w:r>
    </w:p>
    <w:p w:rsidR="00B33991" w:rsidRPr="00C02CEB" w:rsidRDefault="00B33991" w:rsidP="00C02CEB">
      <w:pPr>
        <w:jc w:val="both"/>
        <w:rPr>
          <w:rFonts w:ascii="Arial" w:hAnsi="Arial" w:cs="Arial"/>
          <w:i/>
        </w:rPr>
      </w:pPr>
      <w:r w:rsidRPr="00C02CEB">
        <w:rPr>
          <w:rFonts w:ascii="Arial" w:hAnsi="Arial" w:cs="Arial"/>
          <w:i/>
        </w:rPr>
        <w:t xml:space="preserve">  5° de opvordering van een ziekenhuisdienst om de afzondering van de personen die besmet zijn of bij wie een ernstige besmetting wordt vermoed te bewerkstelligen;</w:t>
      </w:r>
    </w:p>
    <w:p w:rsidR="00B33991" w:rsidRPr="00C02CEB" w:rsidRDefault="000D25F3" w:rsidP="00C02CEB">
      <w:pPr>
        <w:jc w:val="both"/>
        <w:rPr>
          <w:rFonts w:ascii="Arial" w:hAnsi="Arial" w:cs="Arial"/>
        </w:rPr>
      </w:pPr>
      <w:r w:rsidRPr="00C02CEB">
        <w:rPr>
          <w:rFonts w:ascii="Arial" w:hAnsi="Arial" w:cs="Arial"/>
          <w:i/>
        </w:rPr>
        <w:t>….</w:t>
      </w:r>
    </w:p>
    <w:p w:rsidR="009908A0" w:rsidRPr="00C02CEB" w:rsidRDefault="009908A0" w:rsidP="00C02CEB">
      <w:pPr>
        <w:jc w:val="both"/>
        <w:rPr>
          <w:rFonts w:ascii="Arial" w:hAnsi="Arial" w:cs="Arial"/>
        </w:rPr>
      </w:pPr>
    </w:p>
    <w:p w:rsidR="00B92484" w:rsidRPr="00C02CEB" w:rsidRDefault="000D25F3" w:rsidP="00C02CEB">
      <w:pPr>
        <w:jc w:val="both"/>
        <w:rPr>
          <w:rFonts w:ascii="Arial" w:hAnsi="Arial" w:cs="Arial"/>
        </w:rPr>
      </w:pPr>
      <w:r w:rsidRPr="00C02CEB">
        <w:rPr>
          <w:rFonts w:ascii="Arial" w:hAnsi="Arial" w:cs="Arial"/>
        </w:rPr>
        <w:sym w:font="Wingdings" w:char="F0E0"/>
      </w:r>
      <w:r w:rsidR="00702103" w:rsidRPr="00C02CEB">
        <w:rPr>
          <w:rFonts w:ascii="Arial" w:hAnsi="Arial" w:cs="Arial"/>
        </w:rPr>
        <w:t>Als er nog geen bewijs van b</w:t>
      </w:r>
      <w:r w:rsidR="009D77BA" w:rsidRPr="00C02CEB">
        <w:rPr>
          <w:rFonts w:ascii="Arial" w:hAnsi="Arial" w:cs="Arial"/>
        </w:rPr>
        <w:t xml:space="preserve">esmetting is, kan de ordonnantie heel waarschijnlijk niet worden </w:t>
      </w:r>
      <w:r w:rsidR="00B92484" w:rsidRPr="00C02CEB">
        <w:rPr>
          <w:rFonts w:ascii="Arial" w:hAnsi="Arial" w:cs="Arial"/>
        </w:rPr>
        <w:t xml:space="preserve">toegepast </w:t>
      </w:r>
      <w:r w:rsidR="009D77BA" w:rsidRPr="00C02CEB">
        <w:rPr>
          <w:rFonts w:ascii="Arial" w:hAnsi="Arial" w:cs="Arial"/>
        </w:rPr>
        <w:t>om iemand van zijn vrijheid te beroven.</w:t>
      </w:r>
    </w:p>
    <w:p w:rsidR="009908A0" w:rsidRPr="00C02CEB" w:rsidRDefault="009908A0" w:rsidP="00C02CEB">
      <w:pPr>
        <w:jc w:val="both"/>
        <w:rPr>
          <w:rFonts w:ascii="Arial" w:hAnsi="Arial" w:cs="Arial"/>
        </w:rPr>
      </w:pPr>
    </w:p>
    <w:p w:rsidR="009908A0" w:rsidRPr="00C02CEB" w:rsidRDefault="009908A0" w:rsidP="00C02CEB">
      <w:pPr>
        <w:jc w:val="both"/>
        <w:rPr>
          <w:rFonts w:ascii="Arial" w:hAnsi="Arial" w:cs="Arial"/>
        </w:rPr>
      </w:pPr>
    </w:p>
    <w:p w:rsidR="00B945EF" w:rsidRPr="00C02CEB" w:rsidRDefault="00B945EF" w:rsidP="00C02CEB">
      <w:pPr>
        <w:jc w:val="both"/>
        <w:rPr>
          <w:rFonts w:ascii="Arial" w:hAnsi="Arial" w:cs="Arial"/>
        </w:rPr>
      </w:pPr>
    </w:p>
    <w:p w:rsidR="006F0EB2" w:rsidRPr="00C02CEB" w:rsidRDefault="006F0EB2" w:rsidP="00C02CEB">
      <w:pPr>
        <w:jc w:val="both"/>
        <w:rPr>
          <w:rFonts w:ascii="Arial" w:hAnsi="Arial" w:cs="Arial"/>
          <w:b/>
          <w:sz w:val="28"/>
          <w:szCs w:val="28"/>
          <w:u w:val="single"/>
        </w:rPr>
      </w:pPr>
      <w:r w:rsidRPr="00C02CEB">
        <w:rPr>
          <w:rFonts w:ascii="Arial" w:hAnsi="Arial" w:cs="Arial"/>
          <w:b/>
          <w:sz w:val="28"/>
          <w:szCs w:val="28"/>
          <w:u w:val="single"/>
        </w:rPr>
        <w:lastRenderedPageBreak/>
        <w:t>Vlaanderen</w:t>
      </w:r>
    </w:p>
    <w:p w:rsidR="006F0EB2" w:rsidRPr="00C02CEB" w:rsidRDefault="006F0EB2" w:rsidP="00C02CEB">
      <w:pPr>
        <w:jc w:val="both"/>
        <w:rPr>
          <w:rFonts w:ascii="Arial" w:hAnsi="Arial" w:cs="Arial"/>
        </w:rPr>
      </w:pPr>
      <w:r w:rsidRPr="00C02CEB">
        <w:rPr>
          <w:rFonts w:ascii="Arial" w:hAnsi="Arial" w:cs="Arial"/>
        </w:rPr>
        <w:t>De enige regelgeving die in Vlaanderen op het gebied Volksgezondheid beschikbaar is om iemand van zijn vrijheid te beroven is het preventiedecreet of, het Decreet van 21 november 2003</w:t>
      </w:r>
      <w:r w:rsidRPr="00C02CEB">
        <w:rPr>
          <w:rStyle w:val="Appelnotedebasdep"/>
          <w:rFonts w:ascii="Arial" w:hAnsi="Arial" w:cs="Arial"/>
        </w:rPr>
        <w:footnoteReference w:id="2"/>
      </w:r>
      <w:r w:rsidRPr="00C02CEB">
        <w:rPr>
          <w:rFonts w:ascii="Arial" w:hAnsi="Arial" w:cs="Arial"/>
        </w:rPr>
        <w:t xml:space="preserve"> betreffende het Preventieve Gezondheidsbeleid.</w:t>
      </w:r>
    </w:p>
    <w:p w:rsidR="006F0EB2" w:rsidRPr="00C02CEB" w:rsidRDefault="006F0EB2" w:rsidP="00C02CEB">
      <w:pPr>
        <w:pStyle w:val="NormalWeb"/>
        <w:jc w:val="both"/>
        <w:rPr>
          <w:rFonts w:ascii="Arial" w:hAnsi="Arial" w:cs="Arial"/>
          <w:i/>
          <w:sz w:val="22"/>
          <w:szCs w:val="22"/>
          <w:lang w:val="nl-BE"/>
        </w:rPr>
      </w:pPr>
      <w:r w:rsidRPr="00C02CEB">
        <w:rPr>
          <w:rStyle w:val="artikel1"/>
          <w:rFonts w:ascii="Arial" w:hAnsi="Arial" w:cs="Arial"/>
          <w:i/>
          <w:sz w:val="22"/>
          <w:szCs w:val="22"/>
          <w:lang w:val="nl-BE"/>
        </w:rPr>
        <w:t>Artikel 47.</w:t>
      </w:r>
      <w:r w:rsidRPr="00C02CEB">
        <w:rPr>
          <w:rFonts w:ascii="Arial" w:hAnsi="Arial" w:cs="Arial"/>
          <w:i/>
          <w:sz w:val="22"/>
          <w:szCs w:val="22"/>
          <w:lang w:val="nl-BE"/>
        </w:rPr>
        <w:t xml:space="preserve"> </w:t>
      </w:r>
      <w:r w:rsidRPr="00C02CEB">
        <w:rPr>
          <w:rStyle w:val="artikel-versie-datum"/>
          <w:rFonts w:ascii="Arial" w:hAnsi="Arial" w:cs="Arial"/>
          <w:i/>
          <w:sz w:val="22"/>
          <w:szCs w:val="22"/>
          <w:lang w:val="nl-BE"/>
        </w:rPr>
        <w:t xml:space="preserve">(... - ...) </w:t>
      </w:r>
    </w:p>
    <w:p w:rsidR="00C02CEB" w:rsidRDefault="006F0EB2" w:rsidP="00C02CEB">
      <w:pPr>
        <w:pStyle w:val="NormalWeb"/>
        <w:jc w:val="both"/>
        <w:rPr>
          <w:rStyle w:val="artikelversie"/>
          <w:rFonts w:ascii="Arial" w:hAnsi="Arial" w:cs="Arial"/>
          <w:i/>
          <w:sz w:val="22"/>
          <w:szCs w:val="22"/>
          <w:lang w:val="nl-BE"/>
        </w:rPr>
      </w:pPr>
      <w:r w:rsidRPr="00C02CEB">
        <w:rPr>
          <w:rStyle w:val="artikelversie"/>
          <w:rFonts w:ascii="Arial" w:hAnsi="Arial" w:cs="Arial"/>
          <w:i/>
          <w:sz w:val="22"/>
          <w:szCs w:val="22"/>
          <w:lang w:val="nl-BE"/>
        </w:rPr>
        <w:t>§ 1. De ambtenaren-artsen, bedoeld in artikel 44, § 3, 2°, kunnen:</w:t>
      </w:r>
    </w:p>
    <w:p w:rsidR="00C02CEB" w:rsidRDefault="006F0EB2" w:rsidP="00C02CEB">
      <w:pPr>
        <w:pStyle w:val="NormalWeb"/>
        <w:jc w:val="both"/>
        <w:rPr>
          <w:rStyle w:val="artikelversie"/>
          <w:rFonts w:ascii="Arial" w:hAnsi="Arial" w:cs="Arial"/>
          <w:i/>
          <w:sz w:val="22"/>
          <w:szCs w:val="22"/>
          <w:lang w:val="nl-BE"/>
        </w:rPr>
      </w:pPr>
      <w:r w:rsidRPr="00C02CEB">
        <w:rPr>
          <w:rStyle w:val="artikelversie"/>
          <w:rFonts w:ascii="Arial" w:hAnsi="Arial" w:cs="Arial"/>
          <w:i/>
          <w:sz w:val="22"/>
          <w:szCs w:val="22"/>
          <w:lang w:val="nl-BE"/>
        </w:rPr>
        <w:t>1° personen die aangetast zijn door een dergelijke infectie en die een bijzonder gevaar van besmetting vormen voor andere personen, verplichten een gepaste medische behandeling te volgen om die besmettelijkheid te bestrijden en/of het bevel geven tot tijdelijke afzondering van deze personen in een door de ambtenaren-artsen bepaalde ziekenhuisafdeling. Die verplichte afzondering verloopt zodra de patiënt niet meer besmettelijk is;</w:t>
      </w:r>
    </w:p>
    <w:p w:rsidR="006F0EB2" w:rsidRPr="00C02CEB" w:rsidRDefault="006F0EB2" w:rsidP="00C02CEB">
      <w:pPr>
        <w:pStyle w:val="NormalWeb"/>
        <w:jc w:val="both"/>
        <w:rPr>
          <w:rFonts w:ascii="Arial" w:hAnsi="Arial" w:cs="Arial"/>
          <w:i/>
          <w:sz w:val="22"/>
          <w:szCs w:val="22"/>
          <w:lang w:val="nl-BE"/>
        </w:rPr>
      </w:pPr>
      <w:r w:rsidRPr="00C02CEB">
        <w:rPr>
          <w:rStyle w:val="artikelversie"/>
          <w:rFonts w:ascii="Arial" w:hAnsi="Arial" w:cs="Arial"/>
          <w:i/>
          <w:sz w:val="22"/>
          <w:szCs w:val="22"/>
          <w:lang w:val="nl-BE"/>
        </w:rPr>
        <w:t>2° personen die, na contact met een geïnfecteerde persoon of na contact met een andere besmettingsbron, mogelijk besmet zijn, en die door contacten met anderen, al dan niet bij de uitoefening van hun beroepsactiviteit, deze infectie kunnen overdragen, onderwerpen aan medisch onderzoek dat nodig is voor de opsporing van besmettingsbronnen;</w:t>
      </w:r>
      <w:r w:rsidRPr="00C02CEB">
        <w:rPr>
          <w:rFonts w:ascii="Arial" w:hAnsi="Arial" w:cs="Arial"/>
          <w:i/>
          <w:sz w:val="22"/>
          <w:szCs w:val="22"/>
          <w:lang w:val="nl-BE"/>
        </w:rPr>
        <w:br/>
      </w:r>
      <w:r w:rsidRPr="00C02CEB">
        <w:rPr>
          <w:rFonts w:ascii="Arial" w:hAnsi="Arial" w:cs="Arial"/>
          <w:i/>
          <w:sz w:val="22"/>
          <w:szCs w:val="22"/>
          <w:lang w:val="nl-BE"/>
        </w:rPr>
        <w:br/>
      </w:r>
      <w:r w:rsidRPr="00C02CEB">
        <w:rPr>
          <w:rStyle w:val="artikelversie"/>
          <w:rFonts w:ascii="Arial" w:hAnsi="Arial" w:cs="Arial"/>
          <w:i/>
          <w:sz w:val="22"/>
          <w:szCs w:val="22"/>
          <w:lang w:val="nl-BE"/>
        </w:rPr>
        <w:t>3° personen die besmet blijken en de infectie kunnen overdragen, de contacten met anderen, al dan niet bij de uitoefening van hun beroepsactiviteit, verbieden zolang zij hierdoor een bijzonder gevaar betekenen voor de volksgezondheid;</w:t>
      </w:r>
    </w:p>
    <w:p w:rsidR="006F0EB2" w:rsidRPr="00C02CEB" w:rsidRDefault="006F0EB2" w:rsidP="00C02CEB">
      <w:pPr>
        <w:jc w:val="both"/>
        <w:rPr>
          <w:rFonts w:ascii="Arial" w:hAnsi="Arial" w:cs="Arial"/>
        </w:rPr>
      </w:pPr>
    </w:p>
    <w:p w:rsidR="006F0EB2" w:rsidRPr="00C02CEB" w:rsidRDefault="00016106" w:rsidP="00C02CEB">
      <w:pPr>
        <w:jc w:val="both"/>
        <w:rPr>
          <w:rFonts w:ascii="Arial" w:hAnsi="Arial" w:cs="Arial"/>
        </w:rPr>
      </w:pPr>
      <w:r w:rsidRPr="00C02CEB">
        <w:rPr>
          <w:rFonts w:ascii="Arial" w:hAnsi="Arial" w:cs="Arial"/>
        </w:rPr>
        <w:t xml:space="preserve">Bijkomend bestaat in Art. 79 een </w:t>
      </w:r>
      <w:r w:rsidR="006F0EB2" w:rsidRPr="00C02CEB">
        <w:rPr>
          <w:rFonts w:ascii="Arial" w:hAnsi="Arial" w:cs="Arial"/>
        </w:rPr>
        <w:t>strafbep</w:t>
      </w:r>
      <w:r w:rsidRPr="00C02CEB">
        <w:rPr>
          <w:rFonts w:ascii="Arial" w:hAnsi="Arial" w:cs="Arial"/>
        </w:rPr>
        <w:t>aling</w:t>
      </w:r>
      <w:r w:rsidR="006F0EB2" w:rsidRPr="00C02CEB">
        <w:rPr>
          <w:rFonts w:ascii="Arial" w:hAnsi="Arial" w:cs="Arial"/>
        </w:rPr>
        <w:t xml:space="preserve"> voor wie artikel 47 niet </w:t>
      </w:r>
      <w:r w:rsidRPr="00C02CEB">
        <w:rPr>
          <w:rFonts w:ascii="Arial" w:hAnsi="Arial" w:cs="Arial"/>
        </w:rPr>
        <w:t>respecteert:</w:t>
      </w:r>
    </w:p>
    <w:p w:rsidR="006F0EB2" w:rsidRPr="00C02CEB" w:rsidRDefault="006F0EB2" w:rsidP="00C02CEB">
      <w:pPr>
        <w:jc w:val="both"/>
        <w:rPr>
          <w:rFonts w:ascii="Arial" w:hAnsi="Arial" w:cs="Arial"/>
        </w:rPr>
      </w:pPr>
      <w:r w:rsidRPr="00C02CEB">
        <w:rPr>
          <w:rFonts w:ascii="Arial" w:hAnsi="Arial" w:cs="Arial"/>
          <w:b/>
          <w:i/>
          <w:iCs/>
        </w:rPr>
        <w:t>Art. 79.</w:t>
      </w:r>
      <w:r w:rsidRPr="00C02CEB">
        <w:rPr>
          <w:rFonts w:ascii="Arial" w:hAnsi="Arial" w:cs="Arial"/>
          <w:i/>
          <w:iCs/>
        </w:rPr>
        <w:t xml:space="preserve"> Onverminderd de toepassing van de in het Strafwetboek gestelde straffen, worden gestraft met een geldboete van 26 tot 500 euro en met een gevangenisstraf van acht dagen tot zes maanden of met een van deze straffen alleen:</w:t>
      </w:r>
    </w:p>
    <w:p w:rsidR="006F0EB2" w:rsidRPr="00C02CEB" w:rsidRDefault="006F0EB2" w:rsidP="00C02CEB">
      <w:pPr>
        <w:jc w:val="both"/>
        <w:rPr>
          <w:rFonts w:ascii="Arial" w:hAnsi="Arial" w:cs="Arial"/>
        </w:rPr>
      </w:pPr>
      <w:r w:rsidRPr="00C02CEB">
        <w:rPr>
          <w:rFonts w:ascii="Arial" w:hAnsi="Arial" w:cs="Arial"/>
          <w:i/>
          <w:iCs/>
        </w:rPr>
        <w:t xml:space="preserve">1°degenen die geen gevolg geven aan de dwangmaatregelen, bedoeld in artikel 41, § 1, § 5 en § 6, en </w:t>
      </w:r>
      <w:r w:rsidRPr="00C02CEB">
        <w:rPr>
          <w:rFonts w:ascii="Arial" w:hAnsi="Arial" w:cs="Arial"/>
          <w:b/>
          <w:bCs/>
          <w:i/>
          <w:iCs/>
        </w:rPr>
        <w:t>artikel 47</w:t>
      </w:r>
      <w:r w:rsidRPr="00C02CEB">
        <w:rPr>
          <w:rFonts w:ascii="Arial" w:hAnsi="Arial" w:cs="Arial"/>
          <w:i/>
          <w:iCs/>
        </w:rPr>
        <w:t>, of die de uitvoering of naleving ervan verhinderen of belemmeren;</w:t>
      </w:r>
    </w:p>
    <w:p w:rsidR="006F0EB2" w:rsidRPr="00C02CEB" w:rsidRDefault="006F0EB2" w:rsidP="00C02CEB">
      <w:pPr>
        <w:jc w:val="both"/>
        <w:rPr>
          <w:rFonts w:ascii="Arial" w:hAnsi="Arial" w:cs="Arial"/>
        </w:rPr>
      </w:pPr>
    </w:p>
    <w:p w:rsidR="00016106" w:rsidRPr="00C02CEB" w:rsidRDefault="00016106" w:rsidP="00C02CEB">
      <w:pPr>
        <w:jc w:val="both"/>
        <w:rPr>
          <w:rFonts w:ascii="Arial" w:hAnsi="Arial" w:cs="Arial"/>
        </w:rPr>
      </w:pPr>
      <w:r w:rsidRPr="00C02CEB">
        <w:rPr>
          <w:rFonts w:ascii="Arial" w:hAnsi="Arial" w:cs="Arial"/>
        </w:rPr>
        <w:sym w:font="Wingdings" w:char="F0E0"/>
      </w:r>
      <w:r w:rsidRPr="00C02CEB">
        <w:rPr>
          <w:rFonts w:ascii="Arial" w:hAnsi="Arial" w:cs="Arial"/>
        </w:rPr>
        <w:t xml:space="preserve"> </w:t>
      </w:r>
      <w:r w:rsidR="006F0EB2" w:rsidRPr="00C02CEB">
        <w:rPr>
          <w:rFonts w:ascii="Arial" w:hAnsi="Arial" w:cs="Arial"/>
        </w:rPr>
        <w:t xml:space="preserve">Echt van de (volledige) “vrijheid beroven” kan dus alleen als </w:t>
      </w:r>
      <w:r w:rsidRPr="00C02CEB">
        <w:rPr>
          <w:rFonts w:ascii="Arial" w:hAnsi="Arial" w:cs="Arial"/>
        </w:rPr>
        <w:t>personen</w:t>
      </w:r>
      <w:r w:rsidR="006F0EB2" w:rsidRPr="00C02CEB">
        <w:rPr>
          <w:rFonts w:ascii="Arial" w:hAnsi="Arial" w:cs="Arial"/>
        </w:rPr>
        <w:t xml:space="preserve"> besmet én besmettelijk zijn </w:t>
      </w:r>
      <w:r w:rsidRPr="00C02CEB">
        <w:rPr>
          <w:rFonts w:ascii="Arial" w:hAnsi="Arial" w:cs="Arial"/>
        </w:rPr>
        <w:t>door:</w:t>
      </w:r>
    </w:p>
    <w:p w:rsidR="00016106" w:rsidRPr="00C02CEB" w:rsidRDefault="006F0EB2" w:rsidP="00C02CEB">
      <w:pPr>
        <w:pStyle w:val="Paragraphedeliste"/>
        <w:numPr>
          <w:ilvl w:val="0"/>
          <w:numId w:val="2"/>
        </w:numPr>
        <w:jc w:val="both"/>
        <w:rPr>
          <w:rFonts w:ascii="Arial" w:hAnsi="Arial" w:cs="Arial"/>
        </w:rPr>
      </w:pPr>
      <w:r w:rsidRPr="00C02CEB">
        <w:rPr>
          <w:rFonts w:ascii="Arial" w:hAnsi="Arial" w:cs="Arial"/>
        </w:rPr>
        <w:t>d</w:t>
      </w:r>
      <w:r w:rsidR="00016106" w:rsidRPr="00C02CEB">
        <w:rPr>
          <w:rFonts w:ascii="Arial" w:hAnsi="Arial" w:cs="Arial"/>
        </w:rPr>
        <w:t>e betrokkene</w:t>
      </w:r>
      <w:r w:rsidRPr="00C02CEB">
        <w:rPr>
          <w:rFonts w:ascii="Arial" w:hAnsi="Arial" w:cs="Arial"/>
        </w:rPr>
        <w:t xml:space="preserve"> verplicht te laten opnemen (1°)</w:t>
      </w:r>
    </w:p>
    <w:p w:rsidR="00016106" w:rsidRPr="00C02CEB" w:rsidRDefault="006F0EB2" w:rsidP="00C02CEB">
      <w:pPr>
        <w:pStyle w:val="Paragraphedeliste"/>
        <w:numPr>
          <w:ilvl w:val="0"/>
          <w:numId w:val="2"/>
        </w:numPr>
        <w:jc w:val="both"/>
        <w:rPr>
          <w:rFonts w:ascii="Arial" w:hAnsi="Arial" w:cs="Arial"/>
        </w:rPr>
      </w:pPr>
      <w:r w:rsidRPr="00C02CEB">
        <w:rPr>
          <w:rFonts w:ascii="Arial" w:hAnsi="Arial" w:cs="Arial"/>
        </w:rPr>
        <w:t>of in een soort thuis-quarantaine te plaatsen (3°)</w:t>
      </w:r>
    </w:p>
    <w:p w:rsidR="006F0EB2" w:rsidRPr="00C02CEB" w:rsidRDefault="00016106" w:rsidP="00C02CEB">
      <w:pPr>
        <w:pStyle w:val="Paragraphedeliste"/>
        <w:numPr>
          <w:ilvl w:val="0"/>
          <w:numId w:val="2"/>
        </w:numPr>
        <w:jc w:val="both"/>
        <w:rPr>
          <w:rFonts w:ascii="Arial" w:hAnsi="Arial" w:cs="Arial"/>
        </w:rPr>
      </w:pPr>
      <w:r w:rsidRPr="00C02CEB">
        <w:rPr>
          <w:rFonts w:ascii="Arial" w:hAnsi="Arial" w:cs="Arial"/>
        </w:rPr>
        <w:t>w</w:t>
      </w:r>
      <w:r w:rsidR="006F0EB2" w:rsidRPr="00C02CEB">
        <w:rPr>
          <w:rFonts w:ascii="Arial" w:hAnsi="Arial" w:cs="Arial"/>
        </w:rPr>
        <w:t xml:space="preserve">el kunnen </w:t>
      </w:r>
      <w:r w:rsidRPr="00C02CEB">
        <w:rPr>
          <w:rFonts w:ascii="Arial" w:hAnsi="Arial" w:cs="Arial"/>
        </w:rPr>
        <w:t>de ambtenaren-artsen betrokkenen</w:t>
      </w:r>
      <w:r w:rsidR="006F0EB2" w:rsidRPr="00C02CEB">
        <w:rPr>
          <w:rFonts w:ascii="Arial" w:hAnsi="Arial" w:cs="Arial"/>
        </w:rPr>
        <w:t xml:space="preserve"> in een vroeger stadium, en dus om te bepalen of </w:t>
      </w:r>
      <w:r w:rsidRPr="00C02CEB">
        <w:rPr>
          <w:rFonts w:ascii="Arial" w:hAnsi="Arial" w:cs="Arial"/>
        </w:rPr>
        <w:t>de</w:t>
      </w:r>
      <w:r w:rsidR="006F0EB2" w:rsidRPr="00C02CEB">
        <w:rPr>
          <w:rFonts w:ascii="Arial" w:hAnsi="Arial" w:cs="Arial"/>
        </w:rPr>
        <w:t>ze besmet zijn, hen verplicht laten onderzoeken (2°).</w:t>
      </w:r>
    </w:p>
    <w:p w:rsidR="006F0EB2" w:rsidRPr="00C02CEB" w:rsidRDefault="006F0EB2" w:rsidP="00C02CEB">
      <w:pPr>
        <w:jc w:val="both"/>
        <w:rPr>
          <w:rFonts w:ascii="Arial" w:hAnsi="Arial" w:cs="Arial"/>
        </w:rPr>
      </w:pPr>
    </w:p>
    <w:p w:rsidR="00605A3C" w:rsidRPr="00C02CEB" w:rsidRDefault="00E27B23" w:rsidP="00C02CEB">
      <w:pPr>
        <w:jc w:val="both"/>
        <w:rPr>
          <w:rFonts w:ascii="Arial" w:hAnsi="Arial" w:cs="Arial"/>
        </w:rPr>
      </w:pPr>
      <w:r w:rsidRPr="00C02CEB">
        <w:rPr>
          <w:rFonts w:ascii="Arial" w:hAnsi="Arial" w:cs="Arial"/>
        </w:rPr>
        <w:t xml:space="preserve">In Vlaanderen kan men als iemand </w:t>
      </w:r>
      <w:r w:rsidRPr="00C02CEB">
        <w:rPr>
          <w:rFonts w:ascii="Arial" w:hAnsi="Arial" w:cs="Arial"/>
          <w:i/>
        </w:rPr>
        <w:t>enkel</w:t>
      </w:r>
      <w:r w:rsidR="00B7235E" w:rsidRPr="00C02CEB">
        <w:rPr>
          <w:rFonts w:ascii="Arial" w:hAnsi="Arial" w:cs="Arial"/>
        </w:rPr>
        <w:t xml:space="preserve"> besmet blijkt, </w:t>
      </w:r>
      <w:r w:rsidRPr="00C02CEB">
        <w:rPr>
          <w:rFonts w:ascii="Arial" w:hAnsi="Arial" w:cs="Arial"/>
        </w:rPr>
        <w:t>momenteel ook geen fysieke contacten met anderen verbieden.</w:t>
      </w:r>
    </w:p>
    <w:p w:rsidR="00832D23" w:rsidRPr="00C02CEB" w:rsidRDefault="00832D23" w:rsidP="00C02CEB">
      <w:pPr>
        <w:jc w:val="both"/>
        <w:rPr>
          <w:rFonts w:ascii="Arial" w:hAnsi="Arial" w:cs="Arial"/>
        </w:rPr>
      </w:pPr>
    </w:p>
    <w:p w:rsidR="00832D23" w:rsidRPr="00C02CEB" w:rsidRDefault="00E27B23" w:rsidP="00C02CEB">
      <w:pPr>
        <w:jc w:val="both"/>
        <w:rPr>
          <w:rFonts w:ascii="Arial" w:hAnsi="Arial" w:cs="Arial"/>
          <w:lang w:val="fr-FR"/>
        </w:rPr>
      </w:pPr>
      <w:r w:rsidRPr="00C02CEB">
        <w:rPr>
          <w:rFonts w:ascii="Arial" w:hAnsi="Arial" w:cs="Arial"/>
          <w:b/>
          <w:sz w:val="28"/>
          <w:szCs w:val="28"/>
          <w:u w:val="single"/>
          <w:lang w:val="fr-FR"/>
        </w:rPr>
        <w:t xml:space="preserve">La </w:t>
      </w:r>
      <w:r w:rsidR="00832D23" w:rsidRPr="00C02CEB">
        <w:rPr>
          <w:rFonts w:ascii="Arial" w:hAnsi="Arial" w:cs="Arial"/>
          <w:b/>
          <w:sz w:val="28"/>
          <w:szCs w:val="28"/>
          <w:u w:val="single"/>
          <w:lang w:val="fr-FR"/>
        </w:rPr>
        <w:t>Wallonie</w:t>
      </w:r>
      <w:r w:rsidR="00832D23" w:rsidRPr="00C02CEB">
        <w:rPr>
          <w:rFonts w:ascii="Arial" w:hAnsi="Arial" w:cs="Arial"/>
          <w:lang w:val="fr-FR"/>
        </w:rPr>
        <w:t> </w:t>
      </w:r>
    </w:p>
    <w:p w:rsidR="00832D23" w:rsidRPr="00C02CEB" w:rsidRDefault="00BF77C7" w:rsidP="00C02CEB">
      <w:pPr>
        <w:jc w:val="both"/>
        <w:rPr>
          <w:rFonts w:ascii="Arial" w:hAnsi="Arial" w:cs="Arial"/>
          <w:lang w:val="fr-BE"/>
        </w:rPr>
      </w:pPr>
      <w:r w:rsidRPr="00C02CEB">
        <w:rPr>
          <w:rFonts w:ascii="Arial" w:hAnsi="Arial" w:cs="Arial"/>
          <w:lang w:val="fr-BE"/>
        </w:rPr>
        <w:t>Législation applicable</w:t>
      </w:r>
      <w:r w:rsidR="00832D23" w:rsidRPr="00C02CEB">
        <w:rPr>
          <w:rFonts w:ascii="Arial" w:hAnsi="Arial" w:cs="Arial"/>
          <w:lang w:val="fr-BE"/>
        </w:rPr>
        <w:t xml:space="preserve">: </w:t>
      </w:r>
      <w:r w:rsidR="00832D23" w:rsidRPr="00C02CEB">
        <w:rPr>
          <w:rFonts w:ascii="Arial" w:hAnsi="Arial" w:cs="Arial"/>
          <w:bCs/>
          <w:lang w:val="fr-BE"/>
        </w:rPr>
        <w:t>2019-05-02 - Décret modifiant le Code wallon de l'Action sociale et de la Santé en ce qui concerne la prévention et la promotion de la santé. - M.B. 2019-10-14)</w:t>
      </w:r>
      <w:r w:rsidR="00832D23" w:rsidRPr="00C02CEB">
        <w:rPr>
          <w:rFonts w:ascii="Arial" w:hAnsi="Arial" w:cs="Arial"/>
          <w:color w:val="1F497D"/>
          <w:lang w:val="fr-BE"/>
        </w:rPr>
        <w:t>  </w:t>
      </w:r>
    </w:p>
    <w:p w:rsidR="00C02CEB" w:rsidRDefault="00832D23" w:rsidP="00C02CEB">
      <w:pPr>
        <w:jc w:val="both"/>
        <w:rPr>
          <w:rFonts w:ascii="Arial" w:hAnsi="Arial" w:cs="Arial"/>
          <w:i/>
          <w:color w:val="000000"/>
          <w:shd w:val="clear" w:color="auto" w:fill="FFFFFF"/>
          <w:lang w:val="fr-BE"/>
        </w:rPr>
      </w:pPr>
      <w:r w:rsidRPr="00C02CEB">
        <w:rPr>
          <w:rFonts w:ascii="Arial" w:hAnsi="Arial" w:cs="Arial"/>
          <w:i/>
          <w:color w:val="000000"/>
          <w:shd w:val="clear" w:color="auto" w:fill="FFFFFF"/>
          <w:lang w:val="fr-BE"/>
        </w:rPr>
        <w:t>§ 2. Le Gouvernement définit les conditions d'accès aux données visées au paragraphe1</w:t>
      </w:r>
      <w:r w:rsidRPr="00C02CEB">
        <w:rPr>
          <w:rFonts w:ascii="Arial" w:hAnsi="Arial" w:cs="Arial"/>
          <w:i/>
          <w:color w:val="000000"/>
          <w:bdr w:val="none" w:sz="0" w:space="0" w:color="auto" w:frame="1"/>
          <w:vertAlign w:val="superscript"/>
          <w:lang w:val="fr-BE"/>
        </w:rPr>
        <w:t>er</w:t>
      </w:r>
      <w:r w:rsidRPr="00C02CEB">
        <w:rPr>
          <w:rFonts w:ascii="Arial" w:hAnsi="Arial" w:cs="Arial"/>
          <w:i/>
          <w:color w:val="000000"/>
          <w:shd w:val="clear" w:color="auto" w:fill="FFFFFF"/>
          <w:lang w:val="fr-BE"/>
        </w:rPr>
        <w:t>. ».</w:t>
      </w:r>
      <w:r w:rsidRPr="00C02CEB">
        <w:rPr>
          <w:rFonts w:ascii="Arial" w:hAnsi="Arial" w:cs="Arial"/>
          <w:i/>
          <w:color w:val="000000"/>
          <w:lang w:val="fr-BE"/>
        </w:rPr>
        <w:br/>
      </w:r>
      <w:r w:rsidRPr="00C02CEB">
        <w:rPr>
          <w:rFonts w:ascii="Arial" w:hAnsi="Arial" w:cs="Arial"/>
          <w:i/>
          <w:color w:val="000000"/>
          <w:shd w:val="clear" w:color="auto" w:fill="FFFFFF"/>
          <w:lang w:val="fr-BE"/>
        </w:rPr>
        <w:t>Art. 19. Dans le même titre III, il est inséré un article 47/15, rédigé comme suit :</w:t>
      </w:r>
      <w:r w:rsidRPr="00C02CEB">
        <w:rPr>
          <w:rFonts w:ascii="Arial" w:hAnsi="Arial" w:cs="Arial"/>
          <w:i/>
          <w:color w:val="000000"/>
          <w:lang w:val="fr-BE"/>
        </w:rPr>
        <w:br/>
      </w:r>
      <w:r w:rsidRPr="00C02CEB">
        <w:rPr>
          <w:rFonts w:ascii="Arial" w:hAnsi="Arial" w:cs="Arial"/>
          <w:i/>
          <w:color w:val="000000"/>
          <w:shd w:val="clear" w:color="auto" w:fill="FFFFFF"/>
          <w:lang w:val="fr-BE"/>
        </w:rPr>
        <w:t>« Art. 47/15. § 1</w:t>
      </w:r>
      <w:r w:rsidRPr="00C02CEB">
        <w:rPr>
          <w:rFonts w:ascii="Arial" w:hAnsi="Arial" w:cs="Arial"/>
          <w:i/>
          <w:color w:val="000000"/>
          <w:bdr w:val="none" w:sz="0" w:space="0" w:color="auto" w:frame="1"/>
          <w:vertAlign w:val="superscript"/>
          <w:lang w:val="fr-BE"/>
        </w:rPr>
        <w:t>er</w:t>
      </w:r>
      <w:r w:rsidRPr="00C02CEB">
        <w:rPr>
          <w:rFonts w:ascii="Arial" w:hAnsi="Arial" w:cs="Arial"/>
          <w:i/>
          <w:color w:val="000000"/>
          <w:shd w:val="clear" w:color="auto" w:fill="FFFFFF"/>
          <w:lang w:val="fr-BE"/>
        </w:rPr>
        <w:t>. Les médecins ou les infirmiers en charge de la surveillance des maladies infectieuses sont désignés par l'Agence.</w:t>
      </w:r>
    </w:p>
    <w:p w:rsidR="00C02CEB" w:rsidRDefault="00832D23" w:rsidP="00C02CEB">
      <w:pPr>
        <w:jc w:val="both"/>
        <w:rPr>
          <w:rFonts w:ascii="Arial" w:hAnsi="Arial" w:cs="Arial"/>
          <w:i/>
          <w:color w:val="000000"/>
          <w:shd w:val="clear" w:color="auto" w:fill="FFFFFF"/>
          <w:lang w:val="fr-BE"/>
        </w:rPr>
      </w:pPr>
      <w:r w:rsidRPr="00C02CEB">
        <w:rPr>
          <w:rFonts w:ascii="Arial" w:hAnsi="Arial" w:cs="Arial"/>
          <w:i/>
          <w:color w:val="000000"/>
          <w:shd w:val="clear" w:color="auto" w:fill="FFFFFF"/>
          <w:lang w:val="fr-BE"/>
        </w:rPr>
        <w:t>Ils ont pour mission :</w:t>
      </w:r>
    </w:p>
    <w:p w:rsidR="00832D23" w:rsidRPr="00C02CEB" w:rsidRDefault="00BF77C7" w:rsidP="00C02CEB">
      <w:pPr>
        <w:jc w:val="both"/>
        <w:rPr>
          <w:rFonts w:ascii="Arial" w:hAnsi="Arial" w:cs="Arial"/>
          <w:i/>
          <w:u w:val="single"/>
          <w:lang w:val="fr-BE"/>
        </w:rPr>
      </w:pPr>
      <w:r w:rsidRPr="00C02CEB">
        <w:rPr>
          <w:rFonts w:ascii="Arial" w:hAnsi="Arial" w:cs="Arial"/>
          <w:i/>
          <w:color w:val="000000"/>
          <w:lang w:val="fr-BE"/>
        </w:rPr>
        <w:t>…</w:t>
      </w:r>
      <w:r w:rsidR="00832D23" w:rsidRPr="00C02CEB">
        <w:rPr>
          <w:rFonts w:ascii="Arial" w:hAnsi="Arial" w:cs="Arial"/>
          <w:i/>
          <w:color w:val="000000"/>
          <w:lang w:val="fr-BE"/>
        </w:rPr>
        <w:br/>
      </w:r>
      <w:r w:rsidR="00832D23" w:rsidRPr="00C02CEB">
        <w:rPr>
          <w:rFonts w:ascii="Arial" w:hAnsi="Arial" w:cs="Arial"/>
          <w:i/>
          <w:color w:val="000000"/>
          <w:u w:val="single"/>
          <w:lang w:val="fr-BE"/>
        </w:rPr>
        <w:t>5° de s'assurer et, le cas échéant, d'imposer que la personne suspectée d'une maladie qui met en jeu le pronostic vital à bref délai ou qui présente la symptomatologie d'une affection épidémique grave, ainsi que la ou les personnes susceptibles de l'avoir contaminée ou d'avoir été contaminées par elle, subissent les examens nécessaires et, le cas échéant, suivent un traitement médical approprié, préventif ou curatif;</w:t>
      </w:r>
    </w:p>
    <w:p w:rsidR="00C02CEB" w:rsidRDefault="00832D23" w:rsidP="00C02CEB">
      <w:pPr>
        <w:jc w:val="both"/>
        <w:rPr>
          <w:rFonts w:ascii="Arial" w:hAnsi="Arial" w:cs="Arial"/>
          <w:i/>
          <w:color w:val="000000"/>
          <w:u w:val="single"/>
          <w:lang w:val="fr-BE"/>
        </w:rPr>
      </w:pPr>
      <w:r w:rsidRPr="00C02CEB">
        <w:rPr>
          <w:rFonts w:ascii="Arial" w:hAnsi="Arial" w:cs="Arial"/>
          <w:i/>
          <w:color w:val="000000"/>
          <w:u w:val="single"/>
          <w:lang w:val="fr-BE"/>
        </w:rPr>
        <w:t>6° d'ordonner si nécessaire l'isolement des personnes contaminées ou susceptibles d'avoir été contaminées, pour une période ne dépassant pas celle de leur contagiosité, dans un service hospitalier spécialement désigné à cet effet par l'autorité compétente ou réquisitionné pour la circonstance;</w:t>
      </w:r>
    </w:p>
    <w:p w:rsidR="00C02CEB" w:rsidRDefault="00832D23" w:rsidP="00C02CEB">
      <w:pPr>
        <w:jc w:val="both"/>
        <w:rPr>
          <w:rFonts w:ascii="Arial" w:hAnsi="Arial" w:cs="Arial"/>
          <w:i/>
          <w:color w:val="000000"/>
          <w:shd w:val="clear" w:color="auto" w:fill="FFFFFF"/>
          <w:lang w:val="fr-BE"/>
        </w:rPr>
      </w:pPr>
      <w:r w:rsidRPr="00C02CEB">
        <w:rPr>
          <w:rFonts w:ascii="Arial" w:hAnsi="Arial" w:cs="Arial"/>
          <w:i/>
          <w:color w:val="000000"/>
          <w:shd w:val="clear" w:color="auto" w:fill="FFFFFF"/>
          <w:lang w:val="fr-BE"/>
        </w:rPr>
        <w:t>7° d'interdire à la ou aux personnes atteintes d'une des maladies donnant lieu à une déclaration obligatoire, d'exercer des activités professionnelles et de fréquenter toute collectivité pendant une période ne dépassant pas celle de la contagiosité;</w:t>
      </w:r>
      <w:r w:rsidRPr="00C02CEB">
        <w:rPr>
          <w:rFonts w:ascii="Arial" w:hAnsi="Arial" w:cs="Arial"/>
          <w:i/>
          <w:color w:val="000000"/>
          <w:lang w:val="fr-BE"/>
        </w:rPr>
        <w:br/>
      </w:r>
      <w:r w:rsidRPr="00C02CEB">
        <w:rPr>
          <w:rFonts w:ascii="Arial" w:hAnsi="Arial" w:cs="Arial"/>
          <w:i/>
          <w:color w:val="000000"/>
          <w:shd w:val="clear" w:color="auto" w:fill="FFFFFF"/>
          <w:lang w:val="fr-BE"/>
        </w:rPr>
        <w:t>8° d'engager tout contrôle ou examen médical, toute recherche ou enquête, et de recueillir toute information qu'ils jugent utile dans l'exercice de leur fonction;</w:t>
      </w:r>
    </w:p>
    <w:p w:rsidR="00C02CEB" w:rsidRDefault="00832D23" w:rsidP="00C02CEB">
      <w:pPr>
        <w:jc w:val="both"/>
        <w:rPr>
          <w:rFonts w:ascii="Arial" w:hAnsi="Arial" w:cs="Arial"/>
          <w:i/>
          <w:color w:val="000000"/>
          <w:shd w:val="clear" w:color="auto" w:fill="FFFFFF"/>
          <w:lang w:val="fr-BE"/>
        </w:rPr>
      </w:pPr>
      <w:r w:rsidRPr="00C02CEB">
        <w:rPr>
          <w:rFonts w:ascii="Arial" w:hAnsi="Arial" w:cs="Arial"/>
          <w:i/>
          <w:color w:val="000000"/>
          <w:shd w:val="clear" w:color="auto" w:fill="FFFFFF"/>
          <w:lang w:val="fr-BE"/>
        </w:rPr>
        <w:t>9° d'ordonner la désinfection des objets et locaux, l'isolement, le traitement et, le cas échéant, la mise à mort et l'incinération d'animaux contaminés ou suspects de l'être, en s'associant avec l'Agence fédérale pour la Sécurité de la Chaîne alimentaire;</w:t>
      </w:r>
    </w:p>
    <w:p w:rsidR="00C02CEB" w:rsidRDefault="00832D23" w:rsidP="00C02CEB">
      <w:pPr>
        <w:jc w:val="both"/>
        <w:rPr>
          <w:rFonts w:ascii="Arial" w:hAnsi="Arial" w:cs="Arial"/>
          <w:i/>
          <w:color w:val="000000"/>
          <w:shd w:val="clear" w:color="auto" w:fill="FFFFFF"/>
          <w:lang w:val="fr-BE"/>
        </w:rPr>
      </w:pPr>
      <w:r w:rsidRPr="00C02CEB">
        <w:rPr>
          <w:rFonts w:ascii="Arial" w:hAnsi="Arial" w:cs="Arial"/>
          <w:i/>
          <w:color w:val="000000"/>
          <w:shd w:val="clear" w:color="auto" w:fill="FFFFFF"/>
          <w:lang w:val="fr-BE"/>
        </w:rPr>
        <w:t>10° de s'introduire en tout lieu ayant été fréquenté par la ou les personnes atteintes d'une des maladies donnant lieu à une déclaration obligatoire ou par les animaux contaminés ou suspectés de l'être, en vue de la constatation de cette source de contamination et en vue de la prise de mesures prophylactiques.</w:t>
      </w:r>
    </w:p>
    <w:p w:rsidR="00832D23" w:rsidRPr="00C02CEB" w:rsidRDefault="00832D23" w:rsidP="00C02CEB">
      <w:pPr>
        <w:jc w:val="both"/>
        <w:rPr>
          <w:rFonts w:ascii="Arial" w:hAnsi="Arial" w:cs="Arial"/>
          <w:i/>
          <w:color w:val="000000"/>
          <w:shd w:val="clear" w:color="auto" w:fill="FFFFFF"/>
          <w:lang w:val="fr-BE"/>
        </w:rPr>
      </w:pPr>
      <w:bookmarkStart w:id="0" w:name="_GoBack"/>
      <w:bookmarkEnd w:id="0"/>
      <w:r w:rsidRPr="00C02CEB">
        <w:rPr>
          <w:rFonts w:ascii="Arial" w:hAnsi="Arial" w:cs="Arial"/>
          <w:i/>
          <w:color w:val="000000"/>
          <w:shd w:val="clear" w:color="auto" w:fill="FFFFFF"/>
          <w:lang w:val="fr-BE"/>
        </w:rPr>
        <w:t>Concernant l'alinéa 2, 10°, le cas échéant, les médecins ou les infirmiers visés à l'alinéa 1</w:t>
      </w:r>
      <w:r w:rsidRPr="00C02CEB">
        <w:rPr>
          <w:rFonts w:ascii="Arial" w:hAnsi="Arial" w:cs="Arial"/>
          <w:i/>
          <w:color w:val="000000"/>
          <w:bdr w:val="none" w:sz="0" w:space="0" w:color="auto" w:frame="1"/>
          <w:vertAlign w:val="superscript"/>
          <w:lang w:val="fr-BE"/>
        </w:rPr>
        <w:t>er</w:t>
      </w:r>
      <w:r w:rsidRPr="00C02CEB">
        <w:rPr>
          <w:rFonts w:ascii="Arial" w:hAnsi="Arial" w:cs="Arial"/>
          <w:i/>
          <w:color w:val="000000"/>
          <w:shd w:val="clear" w:color="auto" w:fill="FFFFFF"/>
          <w:lang w:val="fr-BE"/>
        </w:rPr>
        <w:t xml:space="preserve"> peuvent recommander au bourgmestre de la commune concernée de prendre des arrêtés communaux nécessaires à la gestion du cas.</w:t>
      </w:r>
    </w:p>
    <w:p w:rsidR="00832D23" w:rsidRPr="00C02CEB" w:rsidRDefault="00BF77C7" w:rsidP="00C02CEB">
      <w:pPr>
        <w:jc w:val="both"/>
        <w:rPr>
          <w:rFonts w:ascii="Arial" w:hAnsi="Arial" w:cs="Arial"/>
          <w:i/>
          <w:color w:val="000000"/>
          <w:u w:val="single"/>
          <w:lang w:val="fr-BE"/>
        </w:rPr>
      </w:pPr>
      <w:r w:rsidRPr="00C02CEB">
        <w:rPr>
          <w:rFonts w:ascii="Arial" w:hAnsi="Arial" w:cs="Arial"/>
          <w:i/>
          <w:color w:val="000000"/>
          <w:lang w:val="fr-BE"/>
        </w:rPr>
        <w:t>…</w:t>
      </w:r>
      <w:r w:rsidR="00832D23" w:rsidRPr="00C02CEB">
        <w:rPr>
          <w:rFonts w:ascii="Arial" w:hAnsi="Arial" w:cs="Arial"/>
          <w:i/>
          <w:color w:val="000000"/>
          <w:lang w:val="fr-BE"/>
        </w:rPr>
        <w:br/>
      </w:r>
      <w:r w:rsidR="00832D23" w:rsidRPr="00C02CEB">
        <w:rPr>
          <w:rFonts w:ascii="Arial" w:hAnsi="Arial" w:cs="Arial"/>
          <w:i/>
          <w:color w:val="000000"/>
          <w:u w:val="single"/>
          <w:lang w:val="fr-BE"/>
        </w:rPr>
        <w:t>§ 4. Les médecins ou les infirmiers de l'Agence en charge de la surveillance des maladies infectieuses sont autorisés à requérir l'aide et la protection de la police locale ou fédérale dans l'exercice de leur fonction dans la mesure où cela est nécessaire pour l'intérêt de la santé publique.</w:t>
      </w:r>
    </w:p>
    <w:p w:rsidR="00B7235E" w:rsidRPr="00C02CEB" w:rsidRDefault="00B7235E" w:rsidP="00C02CEB">
      <w:pPr>
        <w:jc w:val="both"/>
        <w:rPr>
          <w:rFonts w:ascii="Arial" w:hAnsi="Arial" w:cs="Arial"/>
          <w:i/>
          <w:lang w:val="fr-BE"/>
        </w:rPr>
      </w:pPr>
    </w:p>
    <w:p w:rsidR="00E27B23" w:rsidRPr="00C02CEB" w:rsidRDefault="00832D23" w:rsidP="00C02CEB">
      <w:pPr>
        <w:jc w:val="both"/>
        <w:rPr>
          <w:rFonts w:ascii="Arial" w:hAnsi="Arial" w:cs="Arial"/>
          <w:lang w:val="fr-FR"/>
        </w:rPr>
      </w:pPr>
      <w:r w:rsidRPr="00C02CEB">
        <w:rPr>
          <w:rFonts w:ascii="Arial" w:hAnsi="Arial" w:cs="Arial"/>
          <w:color w:val="000000"/>
          <w:shd w:val="clear" w:color="auto" w:fill="FFFFFF"/>
          <w:lang w:val="fr-BE"/>
        </w:rPr>
        <w:t> </w:t>
      </w:r>
      <w:r w:rsidR="00604EFF" w:rsidRPr="00C02CEB">
        <w:rPr>
          <w:rFonts w:ascii="Arial" w:hAnsi="Arial" w:cs="Arial"/>
          <w:lang w:val="fr-BE"/>
        </w:rPr>
        <w:sym w:font="Wingdings" w:char="F0E0"/>
      </w:r>
      <w:r w:rsidR="00A44BEA" w:rsidRPr="00C02CEB">
        <w:rPr>
          <w:rFonts w:ascii="Arial" w:hAnsi="Arial" w:cs="Arial"/>
          <w:lang w:val="fr-FR"/>
        </w:rPr>
        <w:t xml:space="preserve"> possibilité d</w:t>
      </w:r>
      <w:r w:rsidR="00A44BEA" w:rsidRPr="00C02CEB">
        <w:rPr>
          <w:rFonts w:ascii="Arial" w:hAnsi="Arial" w:cs="Arial"/>
          <w:lang w:val="fr-BE"/>
        </w:rPr>
        <w:t>'isolement des personnes contaminées ou susceptibles d'avoir été contaminées</w:t>
      </w:r>
    </w:p>
    <w:p w:rsidR="000D25F3" w:rsidRPr="00C02CEB" w:rsidRDefault="000D25F3" w:rsidP="00C02CEB">
      <w:pPr>
        <w:jc w:val="both"/>
        <w:rPr>
          <w:rFonts w:ascii="Arial" w:hAnsi="Arial" w:cs="Arial"/>
          <w:lang w:val="fr-FR"/>
        </w:rPr>
      </w:pPr>
    </w:p>
    <w:sectPr w:rsidR="000D25F3" w:rsidRPr="00C02C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4D" w:rsidRDefault="00DE744D" w:rsidP="006F0EB2">
      <w:pPr>
        <w:spacing w:after="0" w:line="240" w:lineRule="auto"/>
      </w:pPr>
      <w:r>
        <w:separator/>
      </w:r>
    </w:p>
  </w:endnote>
  <w:endnote w:type="continuationSeparator" w:id="0">
    <w:p w:rsidR="00DE744D" w:rsidRDefault="00DE744D" w:rsidP="006F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91635"/>
      <w:docPartObj>
        <w:docPartGallery w:val="Page Numbers (Bottom of Page)"/>
        <w:docPartUnique/>
      </w:docPartObj>
    </w:sdtPr>
    <w:sdtEndPr/>
    <w:sdtContent>
      <w:p w:rsidR="00E27B23" w:rsidRDefault="00E27B23">
        <w:pPr>
          <w:pStyle w:val="Pieddepage"/>
          <w:jc w:val="right"/>
        </w:pPr>
        <w:r>
          <w:fldChar w:fldCharType="begin"/>
        </w:r>
        <w:r>
          <w:instrText>PAGE   \* MERGEFORMAT</w:instrText>
        </w:r>
        <w:r>
          <w:fldChar w:fldCharType="separate"/>
        </w:r>
        <w:r w:rsidR="00C02CEB" w:rsidRPr="00C02CEB">
          <w:rPr>
            <w:noProof/>
            <w:lang w:val="nl-NL"/>
          </w:rPr>
          <w:t>1</w:t>
        </w:r>
        <w:r>
          <w:fldChar w:fldCharType="end"/>
        </w:r>
      </w:p>
    </w:sdtContent>
  </w:sdt>
  <w:p w:rsidR="00E27B23" w:rsidRDefault="00E27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4D" w:rsidRDefault="00DE744D" w:rsidP="006F0EB2">
      <w:pPr>
        <w:spacing w:after="0" w:line="240" w:lineRule="auto"/>
      </w:pPr>
      <w:r>
        <w:separator/>
      </w:r>
    </w:p>
  </w:footnote>
  <w:footnote w:type="continuationSeparator" w:id="0">
    <w:p w:rsidR="00DE744D" w:rsidRDefault="00DE744D" w:rsidP="006F0EB2">
      <w:pPr>
        <w:spacing w:after="0" w:line="240" w:lineRule="auto"/>
      </w:pPr>
      <w:r>
        <w:continuationSeparator/>
      </w:r>
    </w:p>
  </w:footnote>
  <w:footnote w:id="1">
    <w:p w:rsidR="00B92484" w:rsidRDefault="00B92484">
      <w:pPr>
        <w:pStyle w:val="Notedebasdepage"/>
      </w:pPr>
      <w:r>
        <w:rPr>
          <w:rStyle w:val="Appelnotedebasdep"/>
        </w:rPr>
        <w:footnoteRef/>
      </w:r>
      <w:r>
        <w:t xml:space="preserve"> </w:t>
      </w:r>
      <w:r w:rsidRPr="00B92484">
        <w:t>http://www.ejustice.just.fgov.be/cgi_loi/change_lg.pl?language=nl&amp;la=N&amp;table_name=wet&amp;cn=%202007071968</w:t>
      </w:r>
    </w:p>
  </w:footnote>
  <w:footnote w:id="2">
    <w:p w:rsidR="006F0EB2" w:rsidRDefault="006F0EB2">
      <w:pPr>
        <w:pStyle w:val="Notedebasdepage"/>
      </w:pPr>
      <w:r>
        <w:rPr>
          <w:rStyle w:val="Appelnotedebasdep"/>
        </w:rPr>
        <w:footnoteRef/>
      </w:r>
      <w:r>
        <w:t xml:space="preserve"> </w:t>
      </w:r>
      <w:r w:rsidRPr="006F0EB2">
        <w:t>https://www.zorg-en-gezondheid.be/decreet-van-21-november-2003-betreffende-het-preventieve-gezondheidsbeleid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8C6"/>
    <w:multiLevelType w:val="hybridMultilevel"/>
    <w:tmpl w:val="63B0E022"/>
    <w:lvl w:ilvl="0" w:tplc="663444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3075"/>
    <w:multiLevelType w:val="hybridMultilevel"/>
    <w:tmpl w:val="CB1C88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44"/>
    <w:rsid w:val="00016106"/>
    <w:rsid w:val="000B49EF"/>
    <w:rsid w:val="000D25F3"/>
    <w:rsid w:val="000E6F2D"/>
    <w:rsid w:val="001206C4"/>
    <w:rsid w:val="00145FB6"/>
    <w:rsid w:val="001A02B1"/>
    <w:rsid w:val="00213DE7"/>
    <w:rsid w:val="002F5FBC"/>
    <w:rsid w:val="003145C5"/>
    <w:rsid w:val="003540F3"/>
    <w:rsid w:val="0037180A"/>
    <w:rsid w:val="00384DBA"/>
    <w:rsid w:val="003A7A5C"/>
    <w:rsid w:val="003F0714"/>
    <w:rsid w:val="004556BA"/>
    <w:rsid w:val="00504F55"/>
    <w:rsid w:val="00553874"/>
    <w:rsid w:val="00576F3A"/>
    <w:rsid w:val="00604EFF"/>
    <w:rsid w:val="00605A3C"/>
    <w:rsid w:val="006559A9"/>
    <w:rsid w:val="0066032E"/>
    <w:rsid w:val="006605B4"/>
    <w:rsid w:val="006F0EB2"/>
    <w:rsid w:val="00702103"/>
    <w:rsid w:val="007078C5"/>
    <w:rsid w:val="00723E8A"/>
    <w:rsid w:val="00757A90"/>
    <w:rsid w:val="007672CD"/>
    <w:rsid w:val="007A5962"/>
    <w:rsid w:val="007C1584"/>
    <w:rsid w:val="007C7CA7"/>
    <w:rsid w:val="00832D23"/>
    <w:rsid w:val="00875253"/>
    <w:rsid w:val="008E2D86"/>
    <w:rsid w:val="009908A0"/>
    <w:rsid w:val="009D77BA"/>
    <w:rsid w:val="009E1111"/>
    <w:rsid w:val="00A44BEA"/>
    <w:rsid w:val="00A824EE"/>
    <w:rsid w:val="00B33991"/>
    <w:rsid w:val="00B438F4"/>
    <w:rsid w:val="00B7235E"/>
    <w:rsid w:val="00B92484"/>
    <w:rsid w:val="00B945EF"/>
    <w:rsid w:val="00BF77C7"/>
    <w:rsid w:val="00C02CEB"/>
    <w:rsid w:val="00C62944"/>
    <w:rsid w:val="00D56C14"/>
    <w:rsid w:val="00DE744D"/>
    <w:rsid w:val="00E27B23"/>
    <w:rsid w:val="00E812A9"/>
    <w:rsid w:val="00EB1465"/>
    <w:rsid w:val="00ED0D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8C3E6-27B9-44BF-A73A-31DDF785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02B1"/>
    <w:pPr>
      <w:ind w:left="720"/>
      <w:contextualSpacing/>
    </w:pPr>
  </w:style>
  <w:style w:type="paragraph" w:styleId="Notedebasdepage">
    <w:name w:val="footnote text"/>
    <w:basedOn w:val="Normal"/>
    <w:link w:val="NotedebasdepageCar"/>
    <w:uiPriority w:val="99"/>
    <w:semiHidden/>
    <w:unhideWhenUsed/>
    <w:rsid w:val="006F0E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F0EB2"/>
    <w:rPr>
      <w:sz w:val="20"/>
      <w:szCs w:val="20"/>
    </w:rPr>
  </w:style>
  <w:style w:type="character" w:styleId="Appelnotedebasdep">
    <w:name w:val="footnote reference"/>
    <w:basedOn w:val="Policepardfaut"/>
    <w:uiPriority w:val="99"/>
    <w:semiHidden/>
    <w:unhideWhenUsed/>
    <w:rsid w:val="006F0EB2"/>
    <w:rPr>
      <w:vertAlign w:val="superscript"/>
    </w:rPr>
  </w:style>
  <w:style w:type="paragraph" w:styleId="NormalWeb">
    <w:name w:val="Normal (Web)"/>
    <w:basedOn w:val="Normal"/>
    <w:uiPriority w:val="99"/>
    <w:semiHidden/>
    <w:unhideWhenUsed/>
    <w:rsid w:val="006F0E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kel1">
    <w:name w:val="artikel1"/>
    <w:basedOn w:val="Policepardfaut"/>
    <w:rsid w:val="006F0EB2"/>
    <w:rPr>
      <w:b/>
      <w:bCs/>
      <w:sz w:val="21"/>
      <w:szCs w:val="21"/>
    </w:rPr>
  </w:style>
  <w:style w:type="character" w:customStyle="1" w:styleId="artikel-versie-datum">
    <w:name w:val="artikel-versie-datum"/>
    <w:basedOn w:val="Policepardfaut"/>
    <w:rsid w:val="006F0EB2"/>
  </w:style>
  <w:style w:type="character" w:customStyle="1" w:styleId="artikelversie">
    <w:name w:val="artikelversie"/>
    <w:basedOn w:val="Policepardfaut"/>
    <w:rsid w:val="006F0EB2"/>
  </w:style>
  <w:style w:type="paragraph" w:styleId="Textedebulles">
    <w:name w:val="Balloon Text"/>
    <w:basedOn w:val="Normal"/>
    <w:link w:val="TextedebullesCar"/>
    <w:uiPriority w:val="99"/>
    <w:semiHidden/>
    <w:unhideWhenUsed/>
    <w:rsid w:val="006F0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EB2"/>
    <w:rPr>
      <w:rFonts w:ascii="Segoe UI" w:hAnsi="Segoe UI" w:cs="Segoe UI"/>
      <w:sz w:val="18"/>
      <w:szCs w:val="18"/>
    </w:rPr>
  </w:style>
  <w:style w:type="paragraph" w:styleId="En-tte">
    <w:name w:val="header"/>
    <w:basedOn w:val="Normal"/>
    <w:link w:val="En-tteCar"/>
    <w:uiPriority w:val="99"/>
    <w:unhideWhenUsed/>
    <w:rsid w:val="00E27B23"/>
    <w:pPr>
      <w:tabs>
        <w:tab w:val="center" w:pos="4680"/>
        <w:tab w:val="right" w:pos="9360"/>
      </w:tabs>
      <w:spacing w:after="0" w:line="240" w:lineRule="auto"/>
    </w:pPr>
  </w:style>
  <w:style w:type="character" w:customStyle="1" w:styleId="En-tteCar">
    <w:name w:val="En-tête Car"/>
    <w:basedOn w:val="Policepardfaut"/>
    <w:link w:val="En-tte"/>
    <w:uiPriority w:val="99"/>
    <w:rsid w:val="00E27B23"/>
  </w:style>
  <w:style w:type="paragraph" w:styleId="Pieddepage">
    <w:name w:val="footer"/>
    <w:basedOn w:val="Normal"/>
    <w:link w:val="PieddepageCar"/>
    <w:uiPriority w:val="99"/>
    <w:unhideWhenUsed/>
    <w:rsid w:val="00E27B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2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914">
      <w:bodyDiv w:val="1"/>
      <w:marLeft w:val="0"/>
      <w:marRight w:val="0"/>
      <w:marTop w:val="0"/>
      <w:marBottom w:val="0"/>
      <w:divBdr>
        <w:top w:val="none" w:sz="0" w:space="0" w:color="auto"/>
        <w:left w:val="none" w:sz="0" w:space="0" w:color="auto"/>
        <w:bottom w:val="none" w:sz="0" w:space="0" w:color="auto"/>
        <w:right w:val="none" w:sz="0" w:space="0" w:color="auto"/>
      </w:divBdr>
    </w:div>
    <w:div w:id="267155422">
      <w:bodyDiv w:val="1"/>
      <w:marLeft w:val="0"/>
      <w:marRight w:val="0"/>
      <w:marTop w:val="0"/>
      <w:marBottom w:val="0"/>
      <w:divBdr>
        <w:top w:val="none" w:sz="0" w:space="0" w:color="auto"/>
        <w:left w:val="none" w:sz="0" w:space="0" w:color="auto"/>
        <w:bottom w:val="none" w:sz="0" w:space="0" w:color="auto"/>
        <w:right w:val="none" w:sz="0" w:space="0" w:color="auto"/>
      </w:divBdr>
      <w:divsChild>
        <w:div w:id="331956315">
          <w:marLeft w:val="0"/>
          <w:marRight w:val="0"/>
          <w:marTop w:val="300"/>
          <w:marBottom w:val="0"/>
          <w:divBdr>
            <w:top w:val="none" w:sz="0" w:space="0" w:color="auto"/>
            <w:left w:val="none" w:sz="0" w:space="0" w:color="auto"/>
            <w:bottom w:val="none" w:sz="0" w:space="0" w:color="auto"/>
            <w:right w:val="none" w:sz="0" w:space="0" w:color="auto"/>
          </w:divBdr>
        </w:div>
      </w:divsChild>
    </w:div>
    <w:div w:id="756633829">
      <w:bodyDiv w:val="1"/>
      <w:marLeft w:val="0"/>
      <w:marRight w:val="0"/>
      <w:marTop w:val="0"/>
      <w:marBottom w:val="0"/>
      <w:divBdr>
        <w:top w:val="none" w:sz="0" w:space="0" w:color="auto"/>
        <w:left w:val="none" w:sz="0" w:space="0" w:color="auto"/>
        <w:bottom w:val="none" w:sz="0" w:space="0" w:color="auto"/>
        <w:right w:val="none" w:sz="0" w:space="0" w:color="auto"/>
      </w:divBdr>
    </w:div>
    <w:div w:id="898132098">
      <w:bodyDiv w:val="1"/>
      <w:marLeft w:val="0"/>
      <w:marRight w:val="0"/>
      <w:marTop w:val="0"/>
      <w:marBottom w:val="0"/>
      <w:divBdr>
        <w:top w:val="none" w:sz="0" w:space="0" w:color="auto"/>
        <w:left w:val="none" w:sz="0" w:space="0" w:color="auto"/>
        <w:bottom w:val="none" w:sz="0" w:space="0" w:color="auto"/>
        <w:right w:val="none" w:sz="0" w:space="0" w:color="auto"/>
      </w:divBdr>
    </w:div>
    <w:div w:id="1282884112">
      <w:bodyDiv w:val="1"/>
      <w:marLeft w:val="0"/>
      <w:marRight w:val="0"/>
      <w:marTop w:val="0"/>
      <w:marBottom w:val="0"/>
      <w:divBdr>
        <w:top w:val="none" w:sz="0" w:space="0" w:color="auto"/>
        <w:left w:val="none" w:sz="0" w:space="0" w:color="auto"/>
        <w:bottom w:val="none" w:sz="0" w:space="0" w:color="auto"/>
        <w:right w:val="none" w:sz="0" w:space="0" w:color="auto"/>
      </w:divBdr>
    </w:div>
    <w:div w:id="1634674946">
      <w:bodyDiv w:val="1"/>
      <w:marLeft w:val="0"/>
      <w:marRight w:val="0"/>
      <w:marTop w:val="0"/>
      <w:marBottom w:val="0"/>
      <w:divBdr>
        <w:top w:val="none" w:sz="0" w:space="0" w:color="auto"/>
        <w:left w:val="none" w:sz="0" w:space="0" w:color="auto"/>
        <w:bottom w:val="none" w:sz="0" w:space="0" w:color="auto"/>
        <w:right w:val="none" w:sz="0" w:space="0" w:color="auto"/>
      </w:divBdr>
    </w:div>
    <w:div w:id="17743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DBF75CC4.dotm</Template>
  <TotalTime>0</TotalTime>
  <Pages>3</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Barend Cochez</dc:creator>
  <cp:keywords/>
  <dc:description/>
  <cp:lastModifiedBy>Kremers Jessica</cp:lastModifiedBy>
  <cp:revision>3</cp:revision>
  <cp:lastPrinted>2019-12-04T08:14:00Z</cp:lastPrinted>
  <dcterms:created xsi:type="dcterms:W3CDTF">2019-12-04T08:15:00Z</dcterms:created>
  <dcterms:modified xsi:type="dcterms:W3CDTF">2020-01-08T13:24:00Z</dcterms:modified>
</cp:coreProperties>
</file>